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E611B7" w:rsidRPr="001C4413" w:rsidRDefault="00E611B7" w:rsidP="00367985">
      <w:pPr>
        <w:spacing w:after="0" w:line="480" w:lineRule="auto"/>
        <w:jc w:val="center"/>
        <w:rPr>
          <w:rFonts w:ascii="Times New Roman" w:eastAsia="Times New Roman" w:hAnsi="Times New Roman" w:cs="Times New Roman"/>
          <w:sz w:val="24"/>
          <w:szCs w:val="24"/>
        </w:rPr>
      </w:pPr>
    </w:p>
    <w:p w:rsidR="00E611B7" w:rsidRPr="001C4413" w:rsidRDefault="00E611B7" w:rsidP="00367985">
      <w:pPr>
        <w:spacing w:after="0" w:line="480" w:lineRule="auto"/>
        <w:jc w:val="center"/>
        <w:rPr>
          <w:rFonts w:ascii="Times New Roman" w:eastAsia="Times New Roman" w:hAnsi="Times New Roman" w:cs="Times New Roman"/>
          <w:sz w:val="24"/>
          <w:szCs w:val="24"/>
        </w:rPr>
      </w:pPr>
    </w:p>
    <w:p w:rsidR="00E611B7" w:rsidRPr="001C4413" w:rsidRDefault="00E611B7" w:rsidP="00367985">
      <w:pPr>
        <w:spacing w:after="0" w:line="480" w:lineRule="auto"/>
        <w:jc w:val="center"/>
        <w:rPr>
          <w:rFonts w:ascii="Times New Roman" w:eastAsia="Times New Roman" w:hAnsi="Times New Roman" w:cs="Times New Roman"/>
          <w:sz w:val="24"/>
          <w:szCs w:val="24"/>
        </w:rPr>
      </w:pPr>
    </w:p>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2751AC" w:rsidRPr="001C4413" w:rsidRDefault="002751AC" w:rsidP="00367985">
      <w:pPr>
        <w:spacing w:after="0" w:line="480" w:lineRule="auto"/>
        <w:jc w:val="cente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Investment Efficiency at Ford</w:t>
      </w:r>
    </w:p>
    <w:p w:rsidR="00367985" w:rsidRPr="001C4413" w:rsidRDefault="00367985" w:rsidP="00367985">
      <w:pPr>
        <w:spacing w:after="0" w:line="480" w:lineRule="auto"/>
        <w:jc w:val="cente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Name.</w:t>
      </w:r>
    </w:p>
    <w:p w:rsidR="00367985" w:rsidRPr="001C4413" w:rsidRDefault="00367985" w:rsidP="00367985">
      <w:pPr>
        <w:spacing w:after="0" w:line="480" w:lineRule="auto"/>
        <w:jc w:val="cente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Institution.</w:t>
      </w:r>
    </w:p>
    <w:p w:rsidR="00367985" w:rsidRPr="001C4413" w:rsidRDefault="00367985" w:rsidP="00367985">
      <w:pPr>
        <w:spacing w:after="0" w:line="480" w:lineRule="auto"/>
        <w:jc w:val="cente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Date.</w:t>
      </w:r>
    </w:p>
    <w:p w:rsidR="00367985" w:rsidRPr="001C4413" w:rsidRDefault="00367985" w:rsidP="00367985">
      <w:pPr>
        <w:spacing w:after="0" w:line="480" w:lineRule="auto"/>
        <w:jc w:val="center"/>
        <w:rPr>
          <w:rFonts w:ascii="Times New Roman" w:eastAsia="Times New Roman" w:hAnsi="Times New Roman" w:cs="Times New Roman"/>
          <w:sz w:val="24"/>
          <w:szCs w:val="24"/>
        </w:rPr>
      </w:pPr>
    </w:p>
    <w:p w:rsidR="00367985" w:rsidRPr="001C4413" w:rsidRDefault="00367985">
      <w:pP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br w:type="page"/>
      </w:r>
    </w:p>
    <w:p w:rsidR="00367985" w:rsidRPr="001C4413" w:rsidRDefault="00367985" w:rsidP="00367985">
      <w:pPr>
        <w:spacing w:after="0" w:line="480" w:lineRule="auto"/>
        <w:jc w:val="center"/>
        <w:rPr>
          <w:rFonts w:ascii="Times New Roman" w:eastAsia="Times New Roman" w:hAnsi="Times New Roman" w:cs="Times New Roman"/>
          <w:sz w:val="24"/>
          <w:szCs w:val="24"/>
        </w:rPr>
      </w:pPr>
      <w:bookmarkStart w:id="0" w:name="_GoBack"/>
      <w:r w:rsidRPr="001C4413">
        <w:rPr>
          <w:rFonts w:ascii="Times New Roman" w:eastAsia="Times New Roman" w:hAnsi="Times New Roman" w:cs="Times New Roman"/>
          <w:sz w:val="24"/>
          <w:szCs w:val="24"/>
        </w:rPr>
        <w:lastRenderedPageBreak/>
        <w:t>Investment Efficiency at Ford</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The vehicle manufacturing industry has undergone tremendous restructuring as companies are increasingly leveraging on technology to manufacture self-driven and electric cars. Most companies are, therefore </w:t>
      </w:r>
      <w:r w:rsidR="000F795A" w:rsidRPr="001C4413">
        <w:rPr>
          <w:rFonts w:ascii="Times New Roman" w:eastAsia="Times New Roman" w:hAnsi="Times New Roman" w:cs="Times New Roman"/>
          <w:sz w:val="24"/>
          <w:szCs w:val="24"/>
        </w:rPr>
        <w:t>channeling</w:t>
      </w:r>
      <w:r w:rsidRPr="001C4413">
        <w:rPr>
          <w:rFonts w:ascii="Times New Roman" w:eastAsia="Times New Roman" w:hAnsi="Times New Roman" w:cs="Times New Roman"/>
          <w:sz w:val="24"/>
          <w:szCs w:val="24"/>
        </w:rPr>
        <w:t xml:space="preserve"> huge fund investments towards areas with high potential growth as manufacturers attempt to comply with growing strict regulations on carbon dioxide emission within Europe and the Far East. </w:t>
      </w:r>
    </w:p>
    <w:p w:rsidR="00AA7795" w:rsidRPr="001C4413" w:rsidRDefault="000F795A" w:rsidP="000F795A">
      <w:pPr>
        <w:spacing w:after="0" w:line="480" w:lineRule="auto"/>
        <w:ind w:firstLine="720"/>
        <w:jc w:val="center"/>
        <w:rPr>
          <w:rFonts w:ascii="Times New Roman" w:eastAsia="Times New Roman" w:hAnsi="Times New Roman" w:cs="Times New Roman"/>
          <w:b/>
          <w:sz w:val="24"/>
          <w:szCs w:val="24"/>
        </w:rPr>
      </w:pPr>
      <w:r w:rsidRPr="001C4413">
        <w:rPr>
          <w:rFonts w:ascii="Times New Roman" w:eastAsia="Times New Roman" w:hAnsi="Times New Roman" w:cs="Times New Roman"/>
          <w:b/>
          <w:sz w:val="24"/>
          <w:szCs w:val="24"/>
        </w:rPr>
        <w:t xml:space="preserve">Ford Motor Company </w:t>
      </w:r>
      <w:r w:rsidR="00AA7795" w:rsidRPr="001C4413">
        <w:rPr>
          <w:rFonts w:ascii="Times New Roman" w:eastAsia="Times New Roman" w:hAnsi="Times New Roman" w:cs="Times New Roman"/>
          <w:b/>
          <w:sz w:val="24"/>
          <w:szCs w:val="24"/>
        </w:rPr>
        <w:t>and the Need for Change</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Ford is the second-largest auto manufacturer by sales in the United States. The multinational company headquarter is located at Dearborn, Michigan and specializes in the sale of commercial vehicles and automobiles using the Ford brand and luxury cars using the Lincoln brand (Ford 2019). During the 21st century financial crisis coupled with the increased competition due to globalization, Ford came close to filing for bankruptcy. In addition to other external factors like increased industry regulations and consumer protection, these challenges created a radical change in consumer tastes and preferences, subsequently affecting domestic sales and profitability growth (Gulliford 2019). During the early 2000s, it was apparent that Ford had to cut down on product engineering and manufacturing costs in order to compete with the best in the industry.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Instead of succumbing to the pitfalls of the challenge facing the industry, Ford leadership embarked in an initiative the broadened the scope of its operations. Firstly, the company identified improving the quality of its vehicles as a key initiative then increased efforts in integrating the product engineering phase and the manufacturing process to cut down on operating costs. Besides, Ford realized it was important to analyze the company stakeholders. Therefore the company decided to design its vehicles based on customers' needs and viewpoints </w:t>
      </w:r>
      <w:r w:rsidRPr="001C4413">
        <w:rPr>
          <w:rFonts w:ascii="Times New Roman" w:eastAsia="Times New Roman" w:hAnsi="Times New Roman" w:cs="Times New Roman"/>
          <w:sz w:val="24"/>
          <w:szCs w:val="24"/>
        </w:rPr>
        <w:lastRenderedPageBreak/>
        <w:t>and therefore developed an approach that designed products based on consumer needs and preferences. Additionally, the company decided to revolutionize how it handled suppliers and decided to treat them as partners rather than adversaries as they did previously. There was optimism, however, with the industry landscape rapidly changing due to the emergence of potential new markets. After consultations and deliberations, Ford management decided to adopt four major initiatives to drive the company to Investment Efficiency. The four initiatives included the emergence of new markets for growth, low-volume high-value niche markets, competitive drivers, and improving shareholder returns.</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The emergence of new markets for growth: During the late 1980s and 1990s, growth in traditional markets for the automaking company in North America and Europe declined rapidly due to saturation resulting from overcapacity. Future growth in these markets became very minimal (Gulliford, 2019). However, sudden political changes globally led to the development of new democracies opening opportunities for new markets for the automotive industry, especially in the Far East, South America and Eastern Europe. Ford had now to focus on low-cost vehicles that could be afforded by consumers in such markets.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Low-volume high-value niche markets: To create continued growth in the mature markets of North America and Europe, Ford decided to focus on consumer interest products by creating a niche market segment for various consumers who required niche products. As a result, Ford developed a strategy to manufacture high value but low volume vehicles.</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Competitive drivers: Competitors in the automotive industry strive to reduce operating costs and improve market share by improving consumer value. During the 1980s and 1990s, quality as the major competitive gap between the industry players but by early 21st century, the </w:t>
      </w:r>
      <w:r w:rsidRPr="001C4413">
        <w:rPr>
          <w:rFonts w:ascii="Times New Roman" w:eastAsia="Times New Roman" w:hAnsi="Times New Roman" w:cs="Times New Roman"/>
          <w:sz w:val="24"/>
          <w:szCs w:val="24"/>
        </w:rPr>
        <w:lastRenderedPageBreak/>
        <w:t xml:space="preserve">gap had dropped tremendously making low cost and high value to consumers as the key competitive driver.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Improving shareholder returns: Generally, shareholders are the most vital stakeholders; hence, the primary goal of the restructuring process was to improve profitability and create attractive value for shareholders. The goal to improve efficiency and reduce operation cost was undertaken to reward the company shareholders with improved dividends.</w:t>
      </w:r>
    </w:p>
    <w:p w:rsidR="00AA7795" w:rsidRPr="001C4413" w:rsidRDefault="00AA7795" w:rsidP="000F795A">
      <w:pPr>
        <w:spacing w:after="0" w:line="480" w:lineRule="auto"/>
        <w:ind w:firstLine="720"/>
        <w:jc w:val="center"/>
        <w:rPr>
          <w:rFonts w:ascii="Times New Roman" w:eastAsia="Times New Roman" w:hAnsi="Times New Roman" w:cs="Times New Roman"/>
          <w:b/>
          <w:sz w:val="24"/>
          <w:szCs w:val="24"/>
        </w:rPr>
      </w:pPr>
      <w:r w:rsidRPr="001C4413">
        <w:rPr>
          <w:rFonts w:ascii="Times New Roman" w:eastAsia="Times New Roman" w:hAnsi="Times New Roman" w:cs="Times New Roman"/>
          <w:b/>
          <w:sz w:val="24"/>
          <w:szCs w:val="24"/>
        </w:rPr>
        <w:t>The Investment Efficiency Process</w:t>
      </w:r>
    </w:p>
    <w:p w:rsidR="00AA7795" w:rsidRPr="001C4413" w:rsidRDefault="000F795A"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The</w:t>
      </w:r>
      <w:r w:rsidR="00AA7795" w:rsidRPr="001C4413">
        <w:rPr>
          <w:rFonts w:ascii="Times New Roman" w:eastAsia="Times New Roman" w:hAnsi="Times New Roman" w:cs="Times New Roman"/>
          <w:sz w:val="24"/>
          <w:szCs w:val="24"/>
        </w:rPr>
        <w:t xml:space="preserve"> implementation process included the compatibility between process and product to arrive at the investment efficiency initiative. Before the implementation of the Investment Efficiency plan, Ford's production process was characterized by lack of top management strategy, lack of Investment Efficiency Metrics, lack of leadership to introduce new efficiency metrics, lack of knowledge or skills needed to apply special Design Rules and Investment Efficiency Metrics (Ford 2019). To achieve Investment Efficiency, Ford decided to address the company's shortcomings using the following three strategies.</w:t>
      </w:r>
    </w:p>
    <w:p w:rsidR="00AA7795" w:rsidRPr="001C4413" w:rsidRDefault="00AA7795" w:rsidP="000F795A">
      <w:pPr>
        <w:pStyle w:val="ListParagraph"/>
        <w:numPr>
          <w:ilvl w:val="0"/>
          <w:numId w:val="3"/>
        </w:numPr>
        <w:spacing w:after="0" w:line="480" w:lineRule="auto"/>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Micro-engineering involved the improvement of product cost characteristics of the completed design of automotive components. </w:t>
      </w:r>
    </w:p>
    <w:p w:rsidR="00AA7795" w:rsidRPr="001C4413" w:rsidRDefault="00AA7795" w:rsidP="000F795A">
      <w:pPr>
        <w:pStyle w:val="ListParagraph"/>
        <w:numPr>
          <w:ilvl w:val="0"/>
          <w:numId w:val="3"/>
        </w:numPr>
        <w:spacing w:after="0" w:line="480" w:lineRule="auto"/>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Simultaneous engineering allowed design engineers, manufacturing and assembly personnel to work as a team in designing components.</w:t>
      </w:r>
    </w:p>
    <w:p w:rsidR="00AA7795" w:rsidRPr="001C4413" w:rsidRDefault="00AA7795" w:rsidP="000F795A">
      <w:pPr>
        <w:pStyle w:val="ListParagraph"/>
        <w:numPr>
          <w:ilvl w:val="0"/>
          <w:numId w:val="3"/>
        </w:numPr>
        <w:spacing w:after="0" w:line="480" w:lineRule="auto"/>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Process and product compatibility ensured product designs are smoothly compatible with current manufacturing processes, design, tools and facilities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The change greatly impacted on the two major departments of Ford, the design engineering department and the manufacturing department. To effectively achieve the Investment Efficiency process, the leadership combined the above strategies to form two groups </w:t>
      </w:r>
      <w:r w:rsidRPr="001C4413">
        <w:rPr>
          <w:rFonts w:ascii="Times New Roman" w:eastAsia="Times New Roman" w:hAnsi="Times New Roman" w:cs="Times New Roman"/>
          <w:sz w:val="24"/>
          <w:szCs w:val="24"/>
        </w:rPr>
        <w:lastRenderedPageBreak/>
        <w:t xml:space="preserve">in the manufacturing process. The two teams included a specialist in Advanced Manufacturing Pre-Program Engineering (AMPPE) and the Investment Efficiency and Competitive Analysis (IE&amp;CA). The AMPPE is responsible for the early design process and includes senior manufacturing engineers. At the same time, the IE&amp;CA team is responsible for complying with the Investment Efficiency process and consists of engineering and finance personnel (Gulliford 2019). In addition, design rules and metrics were introduced to improve Investment Efficiency while management required the use of Investment Efficiency metrics for reviewing major product design.  </w:t>
      </w:r>
    </w:p>
    <w:p w:rsidR="00AA7795" w:rsidRPr="001C4413" w:rsidRDefault="00AA7795" w:rsidP="000F795A">
      <w:pPr>
        <w:spacing w:after="0" w:line="480" w:lineRule="auto"/>
        <w:ind w:firstLine="720"/>
        <w:jc w:val="center"/>
        <w:rPr>
          <w:rFonts w:ascii="Times New Roman" w:eastAsia="Times New Roman" w:hAnsi="Times New Roman" w:cs="Times New Roman"/>
          <w:b/>
          <w:sz w:val="24"/>
          <w:szCs w:val="24"/>
        </w:rPr>
      </w:pPr>
      <w:r w:rsidRPr="001C4413">
        <w:rPr>
          <w:rFonts w:ascii="Times New Roman" w:eastAsia="Times New Roman" w:hAnsi="Times New Roman" w:cs="Times New Roman"/>
          <w:b/>
          <w:sz w:val="24"/>
          <w:szCs w:val="24"/>
        </w:rPr>
        <w:t>Leadership strategies and change implementation</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The success of the compatibility process was largely due to improved communication between product design engineering and manufacturing personnel throughout the process of product development. Combining the processes ensured the Ford had control over the cost of production of products from designing to the assembling stage. Secondly, Ford change leadership advocated for change in mind-set to ensure production reorganization. Change of manufacturing culture could not be achieved overnight hence was gradual. More importantly, there was little resistance because, through the Ford leadership, stakeholders were educated to understand the inevitable need for change to cut down on costs and ensure sustainable growth.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 xml:space="preserve">According to the management, the new emerging markets required innovative and quality products; thus, the need for improving efficiency was very clear between employees and management. Also, Investment Efficiency team and council strengthened the company's focus on the product development and review process and ensured support and collaboration between employees and the management. Lastly, Ford had created clear aligned objectives. Using, matrix management, the company broke down organizational "chimneys". It allowed the application of </w:t>
      </w:r>
      <w:r w:rsidRPr="001C4413">
        <w:rPr>
          <w:rFonts w:ascii="Times New Roman" w:eastAsia="Times New Roman" w:hAnsi="Times New Roman" w:cs="Times New Roman"/>
          <w:sz w:val="24"/>
          <w:szCs w:val="24"/>
        </w:rPr>
        <w:lastRenderedPageBreak/>
        <w:t xml:space="preserve">Affordable Business Structure enabling Ford to manufacture vehicles that are affordable to both the company and consumers.               </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p>
    <w:p w:rsidR="00AA7795" w:rsidRPr="001C4413" w:rsidRDefault="00AA7795" w:rsidP="000F795A">
      <w:pPr>
        <w:spacing w:after="0" w:line="480" w:lineRule="auto"/>
        <w:jc w:val="center"/>
        <w:rPr>
          <w:rFonts w:ascii="Times New Roman" w:eastAsia="Times New Roman" w:hAnsi="Times New Roman" w:cs="Times New Roman"/>
          <w:b/>
          <w:sz w:val="24"/>
          <w:szCs w:val="24"/>
        </w:rPr>
      </w:pPr>
      <w:r w:rsidRPr="001C4413">
        <w:rPr>
          <w:rFonts w:ascii="Times New Roman" w:eastAsia="Times New Roman" w:hAnsi="Times New Roman" w:cs="Times New Roman"/>
          <w:b/>
          <w:sz w:val="24"/>
          <w:szCs w:val="24"/>
        </w:rPr>
        <w:t>Strategy modifications and Recommendations</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Probably the strategy I could suggest to the change leadership is not only to work towards the improvement of the manufacturing efficiency by developing compatibility between the product design engineering and the manufacturing process using the existing processes and equipment. When making large-scale change, it is also important to establish what the best processes are and equipment is currently applied in the industry. Probably some processes or equipment cannot support the type of products currently being preferred by customers.</w:t>
      </w:r>
    </w:p>
    <w:p w:rsidR="00AA7795" w:rsidRPr="001C4413" w:rsidRDefault="00AA7795" w:rsidP="000F795A">
      <w:pPr>
        <w:spacing w:after="0" w:line="480" w:lineRule="auto"/>
        <w:ind w:firstLine="720"/>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t>The change leadership at Ford did a tremendous job in overseeing the transition process, which almost saw the company almost declared bankrupt to become a global giant. However, the leaders should have known that the change implementation process can only succeed through cross-department participation. The process would, therefore, call for representatives from all departments especially product design engineering, manufacturing, sales, marketing and purchasing which would allow the transfer of information and ensure affected personnel are at per with the project progress. Involving everyone in the change process provides a smooth transition and less resistance because the implications of the process are shared.</w:t>
      </w:r>
    </w:p>
    <w:bookmarkEnd w:id="0"/>
    <w:p w:rsidR="00AA7795" w:rsidRPr="001C4413" w:rsidRDefault="00AA7795" w:rsidP="00AA7795">
      <w:pPr>
        <w:spacing w:after="0" w:line="480" w:lineRule="auto"/>
        <w:jc w:val="center"/>
        <w:rPr>
          <w:rFonts w:ascii="Times New Roman" w:eastAsia="Times New Roman" w:hAnsi="Times New Roman" w:cs="Times New Roman"/>
          <w:sz w:val="24"/>
          <w:szCs w:val="24"/>
        </w:rPr>
      </w:pPr>
    </w:p>
    <w:p w:rsidR="00AA7795" w:rsidRPr="001C4413" w:rsidRDefault="00AA7795" w:rsidP="00AA7795">
      <w:pPr>
        <w:spacing w:after="0" w:line="480" w:lineRule="auto"/>
        <w:jc w:val="center"/>
        <w:rPr>
          <w:rFonts w:ascii="Times New Roman" w:eastAsia="Times New Roman" w:hAnsi="Times New Roman" w:cs="Times New Roman"/>
          <w:sz w:val="24"/>
          <w:szCs w:val="24"/>
        </w:rPr>
      </w:pPr>
    </w:p>
    <w:p w:rsidR="00AA7795" w:rsidRPr="001C4413" w:rsidRDefault="00AA7795" w:rsidP="00AA7795">
      <w:pPr>
        <w:spacing w:after="0" w:line="480" w:lineRule="auto"/>
        <w:jc w:val="center"/>
        <w:rPr>
          <w:rFonts w:ascii="Times New Roman" w:eastAsia="Times New Roman" w:hAnsi="Times New Roman" w:cs="Times New Roman"/>
          <w:sz w:val="24"/>
          <w:szCs w:val="24"/>
        </w:rPr>
      </w:pPr>
    </w:p>
    <w:p w:rsidR="00AA7795" w:rsidRPr="001C4413" w:rsidRDefault="00AA7795" w:rsidP="00AA7795">
      <w:pPr>
        <w:spacing w:after="0" w:line="480" w:lineRule="auto"/>
        <w:jc w:val="center"/>
        <w:rPr>
          <w:rFonts w:ascii="Times New Roman" w:eastAsia="Times New Roman" w:hAnsi="Times New Roman" w:cs="Times New Roman"/>
          <w:sz w:val="24"/>
          <w:szCs w:val="24"/>
        </w:rPr>
      </w:pPr>
    </w:p>
    <w:p w:rsidR="00AA7795" w:rsidRPr="001C4413" w:rsidRDefault="00AA7795" w:rsidP="00AA7795">
      <w:pPr>
        <w:spacing w:after="0" w:line="480" w:lineRule="auto"/>
        <w:jc w:val="center"/>
        <w:rPr>
          <w:rFonts w:ascii="Times New Roman" w:eastAsia="Times New Roman" w:hAnsi="Times New Roman" w:cs="Times New Roman"/>
          <w:sz w:val="24"/>
          <w:szCs w:val="24"/>
        </w:rPr>
      </w:pPr>
    </w:p>
    <w:p w:rsidR="000F1D44" w:rsidRPr="001C4413" w:rsidRDefault="0037324B" w:rsidP="00367985">
      <w:pPr>
        <w:spacing w:after="0" w:line="480" w:lineRule="auto"/>
        <w:jc w:val="center"/>
        <w:rPr>
          <w:rFonts w:ascii="Times New Roman" w:eastAsia="Times New Roman" w:hAnsi="Times New Roman" w:cs="Times New Roman"/>
          <w:sz w:val="24"/>
          <w:szCs w:val="24"/>
        </w:rPr>
      </w:pPr>
      <w:r w:rsidRPr="001C4413">
        <w:rPr>
          <w:rFonts w:ascii="Times New Roman" w:eastAsia="Times New Roman" w:hAnsi="Times New Roman" w:cs="Times New Roman"/>
          <w:sz w:val="24"/>
          <w:szCs w:val="24"/>
        </w:rPr>
        <w:lastRenderedPageBreak/>
        <w:t>References</w:t>
      </w:r>
    </w:p>
    <w:p w:rsidR="00561C24" w:rsidRPr="001C4413" w:rsidRDefault="00561C24" w:rsidP="00367985">
      <w:pPr>
        <w:spacing w:after="0" w:line="480" w:lineRule="auto"/>
        <w:ind w:left="720" w:hanging="720"/>
        <w:rPr>
          <w:rFonts w:ascii="Times New Roman" w:hAnsi="Times New Roman" w:cs="Times New Roman"/>
          <w:color w:val="222222"/>
          <w:sz w:val="24"/>
          <w:szCs w:val="24"/>
          <w:shd w:val="clear" w:color="auto" w:fill="FFFFFF"/>
        </w:rPr>
      </w:pPr>
      <w:r w:rsidRPr="001C4413">
        <w:rPr>
          <w:rFonts w:ascii="Times New Roman" w:hAnsi="Times New Roman" w:cs="Times New Roman"/>
          <w:color w:val="222222"/>
          <w:sz w:val="24"/>
          <w:szCs w:val="24"/>
          <w:shd w:val="clear" w:color="auto" w:fill="FFFFFF"/>
        </w:rPr>
        <w:t>Ford, H. (2019). </w:t>
      </w:r>
      <w:r w:rsidRPr="001C4413">
        <w:rPr>
          <w:rFonts w:ascii="Times New Roman" w:hAnsi="Times New Roman" w:cs="Times New Roman"/>
          <w:i/>
          <w:iCs/>
          <w:color w:val="222222"/>
          <w:sz w:val="24"/>
          <w:szCs w:val="24"/>
          <w:shd w:val="clear" w:color="auto" w:fill="FFFFFF"/>
        </w:rPr>
        <w:t>Today and Tomorrow: Commemorative Edition of Ford's 1926 Classic</w:t>
      </w:r>
      <w:r w:rsidRPr="001C4413">
        <w:rPr>
          <w:rFonts w:ascii="Times New Roman" w:hAnsi="Times New Roman" w:cs="Times New Roman"/>
          <w:color w:val="222222"/>
          <w:sz w:val="24"/>
          <w:szCs w:val="24"/>
          <w:shd w:val="clear" w:color="auto" w:fill="FFFFFF"/>
        </w:rPr>
        <w:t>. Routledge.</w:t>
      </w:r>
    </w:p>
    <w:p w:rsidR="00561C24" w:rsidRPr="001C4413" w:rsidRDefault="00561C24" w:rsidP="00367985">
      <w:pPr>
        <w:spacing w:after="0" w:line="480" w:lineRule="auto"/>
        <w:ind w:left="720" w:hanging="720"/>
        <w:rPr>
          <w:rFonts w:ascii="Times New Roman" w:eastAsia="Times New Roman" w:hAnsi="Times New Roman" w:cs="Times New Roman"/>
          <w:sz w:val="24"/>
          <w:szCs w:val="24"/>
        </w:rPr>
      </w:pPr>
      <w:r w:rsidRPr="001C4413">
        <w:rPr>
          <w:rFonts w:ascii="Times New Roman" w:hAnsi="Times New Roman" w:cs="Times New Roman"/>
          <w:color w:val="222222"/>
          <w:sz w:val="24"/>
          <w:szCs w:val="24"/>
          <w:shd w:val="clear" w:color="auto" w:fill="FFFFFF"/>
        </w:rPr>
        <w:t>Gulliford, T. (2019). Ford Motor Company &amp;The Economic Crisis of 2008.</w:t>
      </w:r>
      <w:r w:rsidR="0089174F" w:rsidRPr="001C4413">
        <w:rPr>
          <w:rFonts w:ascii="Times New Roman" w:hAnsi="Times New Roman" w:cs="Times New Roman"/>
          <w:i/>
          <w:color w:val="222222"/>
          <w:sz w:val="24"/>
          <w:szCs w:val="24"/>
          <w:shd w:val="clear" w:color="auto" w:fill="FFFFFF"/>
        </w:rPr>
        <w:t>Routledge.</w:t>
      </w:r>
    </w:p>
    <w:sectPr w:rsidR="00561C24" w:rsidRPr="001C4413" w:rsidSect="003679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381" w:rsidRDefault="00F06381" w:rsidP="00367985">
      <w:pPr>
        <w:spacing w:after="0" w:line="240" w:lineRule="auto"/>
      </w:pPr>
      <w:r>
        <w:separator/>
      </w:r>
    </w:p>
  </w:endnote>
  <w:endnote w:type="continuationSeparator" w:id="1">
    <w:p w:rsidR="00F06381" w:rsidRDefault="00F06381" w:rsidP="00367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381" w:rsidRDefault="00F06381" w:rsidP="00367985">
      <w:pPr>
        <w:spacing w:after="0" w:line="240" w:lineRule="auto"/>
      </w:pPr>
      <w:r>
        <w:separator/>
      </w:r>
    </w:p>
  </w:footnote>
  <w:footnote w:type="continuationSeparator" w:id="1">
    <w:p w:rsidR="00F06381" w:rsidRDefault="00F06381" w:rsidP="003679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85" w:rsidRPr="00367985" w:rsidRDefault="00367985" w:rsidP="00367985">
    <w:pPr>
      <w:spacing w:after="0" w:line="480" w:lineRule="auto"/>
      <w:rPr>
        <w:rFonts w:ascii="Times New Roman" w:hAnsi="Times New Roman" w:cs="Times New Roman"/>
        <w:sz w:val="24"/>
        <w:szCs w:val="24"/>
      </w:rPr>
    </w:pPr>
    <w:r w:rsidRPr="00367985">
      <w:rPr>
        <w:rFonts w:ascii="Times New Roman" w:eastAsia="Times New Roman" w:hAnsi="Times New Roman" w:cs="Times New Roman"/>
        <w:sz w:val="24"/>
        <w:szCs w:val="24"/>
      </w:rPr>
      <w:t>INVESTMENT EFFICIENCY AT FORD</w:t>
    </w:r>
    <w:sdt>
      <w:sdtPr>
        <w:rPr>
          <w:rFonts w:ascii="Times New Roman" w:hAnsi="Times New Roman" w:cs="Times New Roman"/>
          <w:sz w:val="24"/>
          <w:szCs w:val="24"/>
        </w:rPr>
        <w:id w:val="140156844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057F" w:rsidRPr="00367985">
          <w:rPr>
            <w:rFonts w:ascii="Times New Roman" w:hAnsi="Times New Roman" w:cs="Times New Roman"/>
            <w:sz w:val="24"/>
            <w:szCs w:val="24"/>
          </w:rPr>
          <w:fldChar w:fldCharType="begin"/>
        </w:r>
        <w:r w:rsidRPr="00367985">
          <w:rPr>
            <w:rFonts w:ascii="Times New Roman" w:hAnsi="Times New Roman" w:cs="Times New Roman"/>
            <w:sz w:val="24"/>
            <w:szCs w:val="24"/>
          </w:rPr>
          <w:instrText xml:space="preserve"> PAGE   \* MERGEFORMAT </w:instrText>
        </w:r>
        <w:r w:rsidR="0074057F" w:rsidRPr="00367985">
          <w:rPr>
            <w:rFonts w:ascii="Times New Roman" w:hAnsi="Times New Roman" w:cs="Times New Roman"/>
            <w:sz w:val="24"/>
            <w:szCs w:val="24"/>
          </w:rPr>
          <w:fldChar w:fldCharType="separate"/>
        </w:r>
        <w:r w:rsidR="00E205CE">
          <w:rPr>
            <w:rFonts w:ascii="Times New Roman" w:hAnsi="Times New Roman" w:cs="Times New Roman"/>
            <w:noProof/>
            <w:sz w:val="24"/>
            <w:szCs w:val="24"/>
          </w:rPr>
          <w:t>7</w:t>
        </w:r>
        <w:r w:rsidR="0074057F" w:rsidRPr="0036798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85" w:rsidRPr="00367985" w:rsidRDefault="00367985" w:rsidP="00367985">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367985">
      <w:rPr>
        <w:rFonts w:ascii="Times New Roman" w:eastAsia="Times New Roman" w:hAnsi="Times New Roman" w:cs="Times New Roman"/>
        <w:sz w:val="24"/>
        <w:szCs w:val="24"/>
      </w:rPr>
      <w:t>INVESTMENT EFFICIENCY AT FORD</w:t>
    </w:r>
    <w:sdt>
      <w:sdtPr>
        <w:rPr>
          <w:rFonts w:ascii="Times New Roman" w:hAnsi="Times New Roman" w:cs="Times New Roman"/>
          <w:sz w:val="24"/>
          <w:szCs w:val="24"/>
        </w:rPr>
        <w:id w:val="-7310006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057F" w:rsidRPr="00367985">
          <w:rPr>
            <w:rFonts w:ascii="Times New Roman" w:hAnsi="Times New Roman" w:cs="Times New Roman"/>
            <w:sz w:val="24"/>
            <w:szCs w:val="24"/>
          </w:rPr>
          <w:fldChar w:fldCharType="begin"/>
        </w:r>
        <w:r w:rsidRPr="00367985">
          <w:rPr>
            <w:rFonts w:ascii="Times New Roman" w:hAnsi="Times New Roman" w:cs="Times New Roman"/>
            <w:sz w:val="24"/>
            <w:szCs w:val="24"/>
          </w:rPr>
          <w:instrText xml:space="preserve"> PAGE   \* MERGEFORMAT </w:instrText>
        </w:r>
        <w:r w:rsidR="0074057F" w:rsidRPr="00367985">
          <w:rPr>
            <w:rFonts w:ascii="Times New Roman" w:hAnsi="Times New Roman" w:cs="Times New Roman"/>
            <w:sz w:val="24"/>
            <w:szCs w:val="24"/>
          </w:rPr>
          <w:fldChar w:fldCharType="separate"/>
        </w:r>
        <w:r w:rsidR="00E205CE">
          <w:rPr>
            <w:rFonts w:ascii="Times New Roman" w:hAnsi="Times New Roman" w:cs="Times New Roman"/>
            <w:noProof/>
            <w:sz w:val="24"/>
            <w:szCs w:val="24"/>
          </w:rPr>
          <w:t>1</w:t>
        </w:r>
        <w:r w:rsidR="0074057F" w:rsidRPr="0036798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355ED"/>
    <w:multiLevelType w:val="hybridMultilevel"/>
    <w:tmpl w:val="00E80F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A50F7B"/>
    <w:multiLevelType w:val="hybridMultilevel"/>
    <w:tmpl w:val="4A062E24"/>
    <w:lvl w:ilvl="0" w:tplc="1700E2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8C6BC1"/>
    <w:multiLevelType w:val="hybridMultilevel"/>
    <w:tmpl w:val="175C6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773D"/>
    <w:rsid w:val="00077354"/>
    <w:rsid w:val="000A45FA"/>
    <w:rsid w:val="000A5594"/>
    <w:rsid w:val="000F1D44"/>
    <w:rsid w:val="000F795A"/>
    <w:rsid w:val="00115DEE"/>
    <w:rsid w:val="001444E8"/>
    <w:rsid w:val="001551D7"/>
    <w:rsid w:val="001822A8"/>
    <w:rsid w:val="001B175F"/>
    <w:rsid w:val="001C4413"/>
    <w:rsid w:val="001D5FB6"/>
    <w:rsid w:val="00206311"/>
    <w:rsid w:val="00257043"/>
    <w:rsid w:val="002751AC"/>
    <w:rsid w:val="002C07FE"/>
    <w:rsid w:val="002F6EED"/>
    <w:rsid w:val="003064BB"/>
    <w:rsid w:val="00322D3C"/>
    <w:rsid w:val="00367985"/>
    <w:rsid w:val="0037324B"/>
    <w:rsid w:val="00376374"/>
    <w:rsid w:val="003D0731"/>
    <w:rsid w:val="0046029F"/>
    <w:rsid w:val="0046087C"/>
    <w:rsid w:val="0047076D"/>
    <w:rsid w:val="004D2C75"/>
    <w:rsid w:val="00515A87"/>
    <w:rsid w:val="00537825"/>
    <w:rsid w:val="00561C24"/>
    <w:rsid w:val="0059171F"/>
    <w:rsid w:val="005F30DB"/>
    <w:rsid w:val="00613B97"/>
    <w:rsid w:val="0064638B"/>
    <w:rsid w:val="0069501B"/>
    <w:rsid w:val="006A7178"/>
    <w:rsid w:val="006B0D38"/>
    <w:rsid w:val="006D53D7"/>
    <w:rsid w:val="0070201B"/>
    <w:rsid w:val="00704190"/>
    <w:rsid w:val="00720EDC"/>
    <w:rsid w:val="0074057F"/>
    <w:rsid w:val="007420AC"/>
    <w:rsid w:val="00761E49"/>
    <w:rsid w:val="00765EBA"/>
    <w:rsid w:val="00775D55"/>
    <w:rsid w:val="008333E7"/>
    <w:rsid w:val="0089174F"/>
    <w:rsid w:val="008A7072"/>
    <w:rsid w:val="008C1CD9"/>
    <w:rsid w:val="008C7B34"/>
    <w:rsid w:val="008F6DD9"/>
    <w:rsid w:val="009B773D"/>
    <w:rsid w:val="009E08D3"/>
    <w:rsid w:val="009F2F77"/>
    <w:rsid w:val="00A26E72"/>
    <w:rsid w:val="00A42CDB"/>
    <w:rsid w:val="00A74AEB"/>
    <w:rsid w:val="00AA7795"/>
    <w:rsid w:val="00AB0547"/>
    <w:rsid w:val="00AB1ABD"/>
    <w:rsid w:val="00AB3FFE"/>
    <w:rsid w:val="00AE0C77"/>
    <w:rsid w:val="00B06E91"/>
    <w:rsid w:val="00B14DB1"/>
    <w:rsid w:val="00BB6505"/>
    <w:rsid w:val="00BB71A6"/>
    <w:rsid w:val="00BC2270"/>
    <w:rsid w:val="00BE4C76"/>
    <w:rsid w:val="00C5286F"/>
    <w:rsid w:val="00C52CC4"/>
    <w:rsid w:val="00C7514B"/>
    <w:rsid w:val="00CA15AB"/>
    <w:rsid w:val="00CA5BAA"/>
    <w:rsid w:val="00CC4652"/>
    <w:rsid w:val="00D272FE"/>
    <w:rsid w:val="00D462FA"/>
    <w:rsid w:val="00D53221"/>
    <w:rsid w:val="00D66A13"/>
    <w:rsid w:val="00D70E2A"/>
    <w:rsid w:val="00DE6A21"/>
    <w:rsid w:val="00E205CE"/>
    <w:rsid w:val="00E50409"/>
    <w:rsid w:val="00E54278"/>
    <w:rsid w:val="00E611B7"/>
    <w:rsid w:val="00EC6002"/>
    <w:rsid w:val="00EE7B06"/>
    <w:rsid w:val="00F06381"/>
    <w:rsid w:val="00F442B2"/>
    <w:rsid w:val="00F609D3"/>
    <w:rsid w:val="00F630F5"/>
    <w:rsid w:val="00F6455E"/>
    <w:rsid w:val="00FF31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73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C76"/>
    <w:pPr>
      <w:ind w:left="720"/>
      <w:contextualSpacing/>
    </w:pPr>
  </w:style>
  <w:style w:type="paragraph" w:styleId="Header">
    <w:name w:val="header"/>
    <w:basedOn w:val="Normal"/>
    <w:link w:val="HeaderChar"/>
    <w:uiPriority w:val="99"/>
    <w:unhideWhenUsed/>
    <w:rsid w:val="00367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85"/>
    <w:rPr>
      <w:rFonts w:eastAsiaTheme="minorEastAsia"/>
    </w:rPr>
  </w:style>
  <w:style w:type="paragraph" w:styleId="Footer">
    <w:name w:val="footer"/>
    <w:basedOn w:val="Normal"/>
    <w:link w:val="FooterChar"/>
    <w:uiPriority w:val="99"/>
    <w:unhideWhenUsed/>
    <w:rsid w:val="00367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85"/>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73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C76"/>
    <w:pPr>
      <w:ind w:left="720"/>
      <w:contextualSpacing/>
    </w:pPr>
  </w:style>
  <w:style w:type="paragraph" w:styleId="Header">
    <w:name w:val="header"/>
    <w:basedOn w:val="Normal"/>
    <w:link w:val="HeaderChar"/>
    <w:uiPriority w:val="99"/>
    <w:unhideWhenUsed/>
    <w:rsid w:val="00367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85"/>
    <w:rPr>
      <w:rFonts w:eastAsiaTheme="minorEastAsia"/>
    </w:rPr>
  </w:style>
  <w:style w:type="paragraph" w:styleId="Footer">
    <w:name w:val="footer"/>
    <w:basedOn w:val="Normal"/>
    <w:link w:val="FooterChar"/>
    <w:uiPriority w:val="99"/>
    <w:unhideWhenUsed/>
    <w:rsid w:val="00367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85"/>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2020-01-13T18:09:00Z</dcterms:created>
  <dcterms:modified xsi:type="dcterms:W3CDTF">2020-01-13T18:09:00Z</dcterms:modified>
</cp:coreProperties>
</file>